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680"/>
        <w:gridCol w:w="4680"/>
      </w:tblGrid>
      <w:tr>
        <w:tc>
          <w:tcPr>
            <w:tcW w:type="dxa" w:w="2160"/>
          </w:tcPr>
          <w:p>
            <w:r>
              <w:drawing>
                <wp:inline xmlns:a="http://schemas.openxmlformats.org/drawingml/2006/main" xmlns:pic="http://schemas.openxmlformats.org/drawingml/2006/picture">
                  <wp:extent cx="1005840" cy="1001316"/>
                  <wp:docPr id="1" name="Picture 1"/>
                  <wp:cNvGraphicFramePr>
                    <a:graphicFrameLocks noChangeAspect="1"/>
                  </wp:cNvGraphicFramePr>
                  <a:graphic>
                    <a:graphicData uri="http://schemas.openxmlformats.org/drawingml/2006/picture">
                      <pic:pic>
                        <pic:nvPicPr>
                          <pic:cNvPr id="0" name="green_logo.png"/>
                          <pic:cNvPicPr/>
                        </pic:nvPicPr>
                        <pic:blipFill>
                          <a:blip r:embed="rId9"/>
                          <a:stretch>
                            <a:fillRect/>
                          </a:stretch>
                        </pic:blipFill>
                        <pic:spPr>
                          <a:xfrm>
                            <a:off x="0" y="0"/>
                            <a:ext cx="1005840" cy="1001316"/>
                          </a:xfrm>
                          <a:prstGeom prst="rect"/>
                        </pic:spPr>
                      </pic:pic>
                    </a:graphicData>
                  </a:graphic>
                </wp:inline>
              </w:drawing>
            </w:r>
          </w:p>
        </w:tc>
        <w:tc>
          <w:tcPr>
            <w:tcW w:type="dxa" w:w="7200"/>
          </w:tcPr>
          <w:p>
            <w:pPr>
              <w:spacing w:after="40"/>
            </w:pPr>
            <w:r>
              <w:rPr>
                <w:b/>
                <w:color w:val="0B532B"/>
                <w:sz w:val="40"/>
              </w:rPr>
              <w:t>School IT Asset Management Policy Template</w:t>
            </w:r>
          </w:p>
          <w:p>
            <w:pPr>
              <w:spacing w:after="0"/>
            </w:pPr>
            <w:r>
              <w:rPr>
                <w:i/>
                <w:color w:val="3E5C43"/>
                <w:sz w:val="21"/>
              </w:rPr>
              <w:t>Create a structured framework for secure computer disposal and ongoing compliance.</w:t>
            </w:r>
          </w:p>
        </w:tc>
      </w:tr>
    </w:tbl>
    <w:p>
      <w:pPr>
        <w:spacing w:before="240" w:after="360"/>
        <w:pBdr>
          <w:bottom w:val="single" w:sz="18" w:space="4" w:color="0B532B"/>
        </w:pBdr>
      </w:pPr>
    </w:p>
    <w:tbl>
      <w:tblPr>
        <w:tblW w:type="auto" w:w="0"/>
        <w:jc w:val="center"/>
        <w:tblLayout w:type="fixed"/>
        <w:tblLook w:firstColumn="1" w:firstRow="1" w:lastColumn="0" w:lastRow="0" w:noHBand="0" w:noVBand="1" w:val="04A0"/>
      </w:tblPr>
      <w:tblGrid>
        <w:gridCol w:w="4680"/>
        <w:gridCol w:w="4680"/>
      </w:tblGrid>
      <w:tr>
        <w:tc>
          <w:tcPr>
            <w:tcW w:type="dxa" w:w="2592"/>
            <w:shd w:fill="F4F9F5"/>
            <w:tcMar>
              <w:top w:w="80" w:type="dxa"/>
              <w:bottom w:w="80" w:type="dxa"/>
              <w:left w:w="120" w:type="dxa"/>
              <w:right w:w="120" w:type="dxa"/>
            </w:tcMar>
          </w:tcPr>
          <w:p>
            <w:pPr>
              <w:spacing w:after="0"/>
            </w:pPr>
            <w:r>
              <w:rPr>
                <w:b/>
                <w:color w:val="0B532B"/>
                <w:sz w:val="19"/>
              </w:rPr>
              <w:t>Document Reference:</w:t>
            </w:r>
          </w:p>
        </w:tc>
        <w:tc>
          <w:tcPr>
            <w:tcW w:type="dxa" w:w="6768"/>
            <w:shd w:fill="F4F9F5"/>
            <w:tcMar>
              <w:top w:w="80" w:type="dxa"/>
              <w:bottom w:w="80" w:type="dxa"/>
              <w:left w:w="120" w:type="dxa"/>
              <w:right w:w="120" w:type="dxa"/>
            </w:tcMar>
          </w:tcPr>
          <w:p>
            <w:pPr>
              <w:spacing w:after="0"/>
            </w:pPr>
            <w:r>
              <w:rPr>
                <w:sz w:val="19"/>
              </w:rPr>
              <w:t>EDU-ITAM-POLICY-2026</w:t>
            </w:r>
          </w:p>
        </w:tc>
      </w:tr>
      <w:tr>
        <w:tc>
          <w:tcPr>
            <w:tcW w:type="dxa" w:w="2592"/>
            <w:shd w:fill="F4F9F5"/>
            <w:tcMar>
              <w:top w:w="80" w:type="dxa"/>
              <w:bottom w:w="80" w:type="dxa"/>
              <w:left w:w="120" w:type="dxa"/>
              <w:right w:w="120" w:type="dxa"/>
            </w:tcMar>
          </w:tcPr>
          <w:p>
            <w:pPr>
              <w:spacing w:after="0"/>
            </w:pPr>
            <w:r>
              <w:rPr>
                <w:b/>
                <w:color w:val="0B532B"/>
                <w:sz w:val="19"/>
              </w:rPr>
              <w:t>Target Audience:</w:t>
            </w:r>
          </w:p>
        </w:tc>
        <w:tc>
          <w:tcPr>
            <w:tcW w:type="dxa" w:w="6768"/>
            <w:shd w:fill="F4F9F5"/>
            <w:tcMar>
              <w:top w:w="80" w:type="dxa"/>
              <w:bottom w:w="80" w:type="dxa"/>
              <w:left w:w="120" w:type="dxa"/>
              <w:right w:w="120" w:type="dxa"/>
            </w:tcMar>
          </w:tcPr>
          <w:p>
            <w:pPr>
              <w:spacing w:after="0"/>
            </w:pPr>
            <w:r>
              <w:rPr>
                <w:sz w:val="19"/>
              </w:rPr>
              <w:t>School Governors, Headteachers, IT Coordinators, Data Protection Officers (DPOs)</w:t>
            </w:r>
          </w:p>
        </w:tc>
      </w:tr>
      <w:tr>
        <w:tc>
          <w:tcPr>
            <w:tcW w:type="dxa" w:w="2592"/>
            <w:shd w:fill="F4F9F5"/>
            <w:tcMar>
              <w:top w:w="80" w:type="dxa"/>
              <w:bottom w:w="80" w:type="dxa"/>
              <w:left w:w="120" w:type="dxa"/>
              <w:right w:w="120" w:type="dxa"/>
            </w:tcMar>
          </w:tcPr>
          <w:p>
            <w:pPr>
              <w:spacing w:after="0"/>
            </w:pPr>
            <w:r>
              <w:rPr>
                <w:b/>
                <w:color w:val="0B532B"/>
                <w:sz w:val="19"/>
              </w:rPr>
              <w:t>Instructions:</w:t>
            </w:r>
          </w:p>
        </w:tc>
        <w:tc>
          <w:tcPr>
            <w:tcW w:type="dxa" w:w="6768"/>
            <w:shd w:fill="F4F9F5"/>
            <w:tcMar>
              <w:top w:w="80" w:type="dxa"/>
              <w:bottom w:w="80" w:type="dxa"/>
              <w:left w:w="120" w:type="dxa"/>
              <w:right w:w="120" w:type="dxa"/>
            </w:tcMar>
          </w:tcPr>
          <w:p>
            <w:pPr>
              <w:spacing w:after="0"/>
            </w:pPr>
            <w:r>
              <w:rPr>
                <w:sz w:val="19"/>
              </w:rPr>
              <w:t>Amend all highlighted bracketed fields [like this] to align with your school's specific funding, data, and safeguarding guidelines.</w:t>
            </w:r>
          </w:p>
        </w:tc>
      </w:tr>
    </w:tbl>
    <w:p>
      <w:pPr>
        <w:keepNext/>
        <w:spacing w:before="400" w:after="160"/>
        <w:pBdr>
          <w:bottom w:val="single" w:sz="6" w:space="4" w:color="E2E8F0"/>
        </w:pBdr>
      </w:pPr>
      <w:r>
        <w:rPr>
          <w:b/>
          <w:color w:val="0B532B"/>
          <w:sz w:val="26"/>
        </w:rPr>
        <w:t>1. Purpose &amp; Scope</w:t>
      </w:r>
    </w:p>
    <w:p>
      <w:r>
        <w:t>This policy defines the core standards for managing, tracking, decommissioning, and safely recycling educational IT assets. The framework ensures that the school maintains full compliance with data privacy regulations (GDPR) and regional e-waste laws during computer refreshes.</w:t>
      </w:r>
    </w:p>
    <w:p>
      <w:r>
        <w:t>Scope covers all data-bearing hardware including classroom desktops, teacher laptops, school office administration systems, and server room infrastructure.</w:t>
      </w:r>
    </w:p>
    <w:p>
      <w:pPr>
        <w:keepNext/>
        <w:spacing w:before="400" w:after="160"/>
        <w:pBdr>
          <w:bottom w:val="single" w:sz="6" w:space="4" w:color="E2E8F0"/>
        </w:pBdr>
      </w:pPr>
      <w:r>
        <w:rPr>
          <w:b/>
          <w:color w:val="0B532B"/>
          <w:sz w:val="26"/>
        </w:rPr>
        <w:t>2. Asset Lifecycle Tracking</w:t>
      </w:r>
    </w:p>
    <w:p>
      <w:r>
        <w:t>Every computer asset must maintain a transparent, audit-ready operational record from acquisition to final disposal:</w:t>
      </w:r>
    </w:p>
    <w:p>
      <w:pPr>
        <w:pStyle w:val="ListBullet"/>
        <w:spacing w:after="80"/>
      </w:pPr>
      <w:r>
        <w:rPr>
          <w:b/>
        </w:rPr>
        <w:t xml:space="preserve">Central Registry: </w:t>
      </w:r>
      <w:r>
        <w:t>All items must be mapped by unique serial numbers, purchase histories, and localized school room assignments.</w:t>
      </w:r>
    </w:p>
    <w:p>
      <w:pPr>
        <w:pStyle w:val="ListBullet"/>
        <w:spacing w:after="80"/>
      </w:pPr>
      <w:r>
        <w:rPr>
          <w:b/>
        </w:rPr>
        <w:t xml:space="preserve">Status Transition: </w:t>
      </w:r>
      <w:r>
        <w:t>When equipment is retired, its status must be immediately updated to 'Pending Disposal' within internal monitoring sheets.</w:t>
      </w:r>
    </w:p>
    <w:p>
      <w:pPr>
        <w:keepNext/>
        <w:spacing w:before="400" w:after="160"/>
        <w:pBdr>
          <w:bottom w:val="single" w:sz="6" w:space="4" w:color="E2E8F0"/>
        </w:pBdr>
      </w:pPr>
      <w:r>
        <w:rPr>
          <w:b/>
          <w:color w:val="0B532B"/>
          <w:sz w:val="26"/>
        </w:rPr>
        <w:t>3. Data Safeguarding &amp; Wipe Validation</w:t>
      </w:r>
    </w:p>
    <w:p>
      <w:r>
        <w:t>Because systems house sensitive student metrics, employee records, and institutional data, secure sanitation processes are mandatory before items leave school grounds:</w:t>
      </w:r>
    </w:p>
    <w:tbl>
      <w:tblPr>
        <w:tblW w:type="auto" w:w="0"/>
        <w:jc w:val="center"/>
        <w:tblLayout w:type="fixed"/>
        <w:tblLook w:firstColumn="1" w:firstRow="1" w:lastColumn="0" w:lastRow="0" w:noHBand="0" w:noVBand="1" w:val="04A0"/>
      </w:tblPr>
      <w:tblGrid>
        <w:gridCol w:w="9360"/>
      </w:tblGrid>
      <w:tr>
        <w:tc>
          <w:tcPr>
            <w:tcW w:type="dxa" w:w="9360"/>
            <w:shd w:fill="FAFAFA"/>
            <w:tcMar>
              <w:top w:w="140" w:type="dxa"/>
              <w:bottom w:w="140" w:type="dxa"/>
              <w:left w:w="180" w:type="dxa"/>
              <w:right w:w="180" w:type="dxa"/>
            </w:tcMar>
            <w:tcBorders>
              <w:top w:val="dashed" w:sz="4" w:space="0" w:color="CBD5E1"/>
              <w:left w:val="single" w:sz="24" w:space="0" w:color="0B532B"/>
              <w:bottom w:val="dashed" w:sz="4" w:space="0" w:color="CBD5E1"/>
              <w:right w:val="dashed" w:sz="4" w:space="0" w:color="CBD5E1"/>
            </w:tcBorders>
          </w:tcPr>
          <w:p>
            <w:pPr>
              <w:spacing w:after="0"/>
            </w:pPr>
            <w:r>
              <w:rPr>
                <w:i/>
                <w:color w:val="64748B"/>
                <w:sz w:val="19"/>
              </w:rPr>
              <w:t>[CHOOSE DATA WIPING METHOD: Define whether the school mandates programmatic software sanitization using certified NIST SP 800-88 protocols, or if storage modules must undergo complete on-site physical mechanical destruction prior to logistical collection.]</w:t>
            </w:r>
          </w:p>
        </w:tc>
      </w:tr>
    </w:tbl>
    <w:p>
      <w:pPr>
        <w:keepNext/>
        <w:spacing w:before="400" w:after="160"/>
        <w:pBdr>
          <w:bottom w:val="single" w:sz="6" w:space="4" w:color="E2E8F0"/>
        </w:pBdr>
      </w:pPr>
      <w:r>
        <w:rPr>
          <w:b/>
          <w:color w:val="0B532B"/>
          <w:sz w:val="26"/>
        </w:rPr>
        <w:t>4. Environmental Compliance &amp; WEEE Auditing</w:t>
      </w:r>
    </w:p>
    <w:p>
      <w:r>
        <w:t>All non-functional assets, peripheral wiring, and legacy monitors must be handled via authenticated, eco-licensed IT Asset Disposal partners to ensure zero-landfill metrics.</w:t>
      </w:r>
    </w:p>
    <w:p>
      <w:r>
        <w:t>Upon job execution, the partner must supply a formal Data Destruction Certificate and an environmental Waste Transfer Note to be appended directly to the school's central audit logs.</w:t>
      </w:r>
    </w:p>
    <w:p>
      <w:pPr>
        <w:spacing w:before="700" w:after="240"/>
        <w:pBdr>
          <w:bottom w:val="single" w:sz="12" w:space="4" w:color="0B532B"/>
        </w:pBdr>
      </w:pPr>
    </w:p>
    <w:p>
      <w:pPr>
        <w:jc w:val="center"/>
      </w:pPr>
      <w:r>
        <w:rPr>
          <w:b/>
          <w:color w:val="3E5C43"/>
          <w:sz w:val="19"/>
        </w:rPr>
        <w:t xml:space="preserve">Phone: </w:t>
      </w:r>
      <w:r>
        <w:rPr>
          <w:color w:val="3E5C43"/>
          <w:sz w:val="19"/>
        </w:rPr>
        <w:t xml:space="preserve">0113 320 3344   |   </w:t>
      </w:r>
      <w:r>
        <w:rPr>
          <w:b/>
          <w:color w:val="3E5C43"/>
          <w:sz w:val="19"/>
        </w:rPr>
        <w:t xml:space="preserve">Email: </w:t>
      </w:r>
      <w:r>
        <w:rPr>
          <w:color w:val="3E5C43"/>
          <w:sz w:val="19"/>
        </w:rPr>
        <w:t xml:space="preserve">info@tmreuseleeds.co.uk   |   </w:t>
      </w:r>
      <w:r>
        <w:rPr>
          <w:b/>
          <w:color w:val="3E5C43"/>
          <w:sz w:val="19"/>
        </w:rPr>
        <w:t xml:space="preserve">Web: </w:t>
      </w:r>
      <w:r>
        <w:rPr>
          <w:color w:val="3E5C43"/>
          <w:sz w:val="19"/>
        </w:rPr>
        <w:t>tmreuseleeds.co.uk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Arial" w:hAnsi="Arial"/>
      <w:color w:val="2C3E5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