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4680"/>
        <w:gridCol w:w="4680"/>
      </w:tblGrid>
      <w:tr>
        <w:tc>
          <w:tcPr>
            <w:tcW w:type="dxa" w:w="2160"/>
          </w:tcPr>
          <w:p>
            <w:pPr>
              <w:jc w:val="left"/>
            </w:pPr>
            <w:r>
              <w:drawing>
                <wp:inline xmlns:a="http://schemas.openxmlformats.org/drawingml/2006/main" xmlns:pic="http://schemas.openxmlformats.org/drawingml/2006/picture">
                  <wp:extent cx="1005840" cy="1001316"/>
                  <wp:docPr id="1" name="Picture 1"/>
                  <wp:cNvGraphicFramePr>
                    <a:graphicFrameLocks noChangeAspect="1"/>
                  </wp:cNvGraphicFramePr>
                  <a:graphic>
                    <a:graphicData uri="http://schemas.openxmlformats.org/drawingml/2006/picture">
                      <pic:pic>
                        <pic:nvPicPr>
                          <pic:cNvPr id="0" name="green_logo.png"/>
                          <pic:cNvPicPr/>
                        </pic:nvPicPr>
                        <pic:blipFill>
                          <a:blip r:embed="rId9"/>
                          <a:stretch>
                            <a:fillRect/>
                          </a:stretch>
                        </pic:blipFill>
                        <pic:spPr>
                          <a:xfrm>
                            <a:off x="0" y="0"/>
                            <a:ext cx="1005840" cy="1001316"/>
                          </a:xfrm>
                          <a:prstGeom prst="rect"/>
                        </pic:spPr>
                      </pic:pic>
                    </a:graphicData>
                  </a:graphic>
                </wp:inline>
              </w:drawing>
            </w:r>
          </w:p>
        </w:tc>
        <w:tc>
          <w:tcPr>
            <w:tcW w:type="dxa" w:w="7200"/>
          </w:tcPr>
          <w:p>
            <w:pPr>
              <w:spacing w:after="40"/>
            </w:pPr>
            <w:r>
              <w:rPr>
                <w:rFonts w:ascii="Arial" w:hAnsi="Arial"/>
                <w:b/>
                <w:color w:val="0B532B"/>
                <w:sz w:val="40"/>
              </w:rPr>
              <w:t>IT Asset Disposal Policy Template</w:t>
            </w:r>
          </w:p>
          <w:p>
            <w:pPr>
              <w:spacing w:after="0"/>
            </w:pPr>
            <w:r>
              <w:rPr>
                <w:rFonts w:ascii="Arial" w:hAnsi="Arial"/>
                <w:i/>
                <w:color w:val="3E5C43"/>
                <w:sz w:val="21"/>
              </w:rPr>
              <w:t>Build a compliant laptop disposal framework that supports security, sustainability, and regulatory requirements.</w:t>
            </w:r>
          </w:p>
        </w:tc>
      </w:tr>
    </w:tbl>
    <w:p>
      <w:pPr>
        <w:spacing w:before="240" w:after="360"/>
        <w:pBdr>
          <w:bottom w:val="single" w:sz="18" w:space="4" w:color="0B532B"/>
        </w:pBdr>
      </w:pPr>
    </w:p>
    <w:tbl>
      <w:tblPr>
        <w:tblW w:type="auto" w:w="0"/>
        <w:jc w:val="center"/>
        <w:tblLayout w:type="fixed"/>
        <w:tblLook w:firstColumn="1" w:firstRow="1" w:lastColumn="0" w:lastRow="0" w:noHBand="0" w:noVBand="1" w:val="04A0"/>
      </w:tblPr>
      <w:tblGrid>
        <w:gridCol w:w="4680"/>
        <w:gridCol w:w="4680"/>
      </w:tblGrid>
      <w:tr>
        <w:tc>
          <w:tcPr>
            <w:tcW w:type="dxa" w:w="2592"/>
            <w:shd w:fill="F4F9F5"/>
            <w:tcMar>
              <w:top w:w="80" w:type="dxa"/>
              <w:bottom w:w="80" w:type="dxa"/>
              <w:left w:w="120" w:type="dxa"/>
              <w:right w:w="120" w:type="dxa"/>
            </w:tcMar>
          </w:tcPr>
          <w:p>
            <w:pPr>
              <w:spacing w:after="0"/>
            </w:pPr>
            <w:r>
              <w:rPr>
                <w:b/>
                <w:color w:val="0B532B"/>
                <w:sz w:val="19"/>
              </w:rPr>
              <w:t>Document Reference:</w:t>
            </w:r>
          </w:p>
        </w:tc>
        <w:tc>
          <w:tcPr>
            <w:tcW w:type="dxa" w:w="6768"/>
            <w:shd w:fill="F4F9F5"/>
            <w:tcMar>
              <w:top w:w="80" w:type="dxa"/>
              <w:bottom w:w="80" w:type="dxa"/>
              <w:left w:w="120" w:type="dxa"/>
              <w:right w:w="120" w:type="dxa"/>
            </w:tcMar>
          </w:tcPr>
          <w:p>
            <w:pPr>
              <w:spacing w:after="0"/>
            </w:pPr>
            <w:r>
              <w:rPr>
                <w:sz w:val="19"/>
              </w:rPr>
              <w:t>ITAD-POLICY-FRAMEWORK-2026</w:t>
            </w:r>
          </w:p>
        </w:tc>
      </w:tr>
      <w:tr>
        <w:tc>
          <w:tcPr>
            <w:tcW w:type="dxa" w:w="2592"/>
            <w:shd w:fill="F4F9F5"/>
            <w:tcMar>
              <w:top w:w="80" w:type="dxa"/>
              <w:bottom w:w="80" w:type="dxa"/>
              <w:left w:w="120" w:type="dxa"/>
              <w:right w:w="120" w:type="dxa"/>
            </w:tcMar>
          </w:tcPr>
          <w:p>
            <w:pPr>
              <w:spacing w:after="0"/>
            </w:pPr>
            <w:r>
              <w:rPr>
                <w:b/>
                <w:color w:val="0B532B"/>
                <w:sz w:val="19"/>
              </w:rPr>
              <w:t>Target Audience:</w:t>
            </w:r>
          </w:p>
        </w:tc>
        <w:tc>
          <w:tcPr>
            <w:tcW w:type="dxa" w:w="6768"/>
            <w:shd w:fill="F4F9F5"/>
            <w:tcMar>
              <w:top w:w="80" w:type="dxa"/>
              <w:bottom w:w="80" w:type="dxa"/>
              <w:left w:w="120" w:type="dxa"/>
              <w:right w:w="120" w:type="dxa"/>
            </w:tcMar>
          </w:tcPr>
          <w:p>
            <w:pPr>
              <w:spacing w:after="0"/>
            </w:pPr>
            <w:r>
              <w:rPr>
                <w:sz w:val="19"/>
              </w:rPr>
              <w:t>IT Infrastructure, Information Security, Corporate Compliance, Operations</w:t>
            </w:r>
          </w:p>
        </w:tc>
      </w:tr>
      <w:tr>
        <w:tc>
          <w:tcPr>
            <w:tcW w:type="dxa" w:w="2592"/>
            <w:shd w:fill="F4F9F5"/>
            <w:tcMar>
              <w:top w:w="80" w:type="dxa"/>
              <w:bottom w:w="80" w:type="dxa"/>
              <w:left w:w="120" w:type="dxa"/>
              <w:right w:w="120" w:type="dxa"/>
            </w:tcMar>
          </w:tcPr>
          <w:p>
            <w:pPr>
              <w:spacing w:after="0"/>
            </w:pPr>
            <w:r>
              <w:rPr>
                <w:b/>
                <w:color w:val="0B532B"/>
                <w:sz w:val="19"/>
              </w:rPr>
              <w:t>Instructions:</w:t>
            </w:r>
          </w:p>
        </w:tc>
        <w:tc>
          <w:tcPr>
            <w:tcW w:type="dxa" w:w="6768"/>
            <w:shd w:fill="F4F9F5"/>
            <w:tcMar>
              <w:top w:w="80" w:type="dxa"/>
              <w:bottom w:w="80" w:type="dxa"/>
              <w:left w:w="120" w:type="dxa"/>
              <w:right w:w="120" w:type="dxa"/>
            </w:tcMar>
          </w:tcPr>
          <w:p>
            <w:pPr>
              <w:spacing w:after="0"/>
            </w:pPr>
            <w:r>
              <w:rPr>
                <w:sz w:val="19"/>
              </w:rPr>
              <w:t>Customize bracketed fields [like this] to align with your internal governance protocols.</w:t>
            </w:r>
          </w:p>
        </w:tc>
      </w:tr>
    </w:tbl>
    <w:p>
      <w:pPr>
        <w:keepNext/>
        <w:spacing w:before="400" w:after="160"/>
        <w:pBdr>
          <w:bottom w:val="single" w:sz="6" w:space="4" w:color="E2E8F0"/>
        </w:pBdr>
      </w:pPr>
      <w:r>
        <w:rPr>
          <w:rFonts w:ascii="Arial" w:hAnsi="Arial"/>
          <w:b/>
          <w:color w:val="0B532B"/>
          <w:sz w:val="26"/>
        </w:rPr>
        <w:t>1. Purpose &amp; Objectives</w:t>
      </w:r>
    </w:p>
    <w:p>
      <w:r>
        <w:t>The purpose of this policy framework is to establish an institutional standard for managing the life-cycle end-point of corporate IT assets, specifically focusing on portable computing devices, hard disk configurations, and peripheral accessories. Key alignment goals seek to completely mitigate organizational data exposure vectors while maximizing resource reclamation metrics.</w:t>
      </w:r>
    </w:p>
    <w:p>
      <w:pPr>
        <w:keepNext/>
        <w:spacing w:before="400" w:after="160"/>
        <w:pBdr>
          <w:bottom w:val="single" w:sz="6" w:space="4" w:color="E2E8F0"/>
        </w:pBdr>
      </w:pPr>
      <w:r>
        <w:rPr>
          <w:rFonts w:ascii="Arial" w:hAnsi="Arial"/>
          <w:b/>
          <w:color w:val="0B532B"/>
          <w:sz w:val="26"/>
        </w:rPr>
        <w:t>2. Operational Chain of Custody</w:t>
      </w:r>
    </w:p>
    <w:p>
      <w:r>
        <w:t>No system may be physically reassigned, archived, or surrendered for recycling without immediate cataloging updates. The following baseline controls apply:</w:t>
      </w:r>
    </w:p>
    <w:p>
      <w:pPr>
        <w:pStyle w:val="ListBullet"/>
        <w:spacing w:after="80"/>
      </w:pPr>
      <w:r>
        <w:rPr>
          <w:b/>
        </w:rPr>
        <w:t xml:space="preserve">Asset State Validation: </w:t>
      </w:r>
      <w:r>
        <w:t>IT logistics teams must modify state markers to 'Decommissioned' inside the centralized Configuration Management Database (CMDB) immediately upon device collection.</w:t>
      </w:r>
    </w:p>
    <w:p>
      <w:pPr>
        <w:pStyle w:val="ListBullet"/>
        <w:spacing w:after="80"/>
      </w:pPr>
      <w:r>
        <w:rPr>
          <w:b/>
        </w:rPr>
        <w:t xml:space="preserve">Physical Containment: </w:t>
      </w:r>
      <w:r>
        <w:t>Assets pending batch logistics must be placed inside keycard-restricted storage lockers to enforce absolute anti-tamper security environments.</w:t>
      </w:r>
    </w:p>
    <w:p>
      <w:pPr>
        <w:keepNext/>
        <w:spacing w:before="400" w:after="160"/>
        <w:pBdr>
          <w:bottom w:val="single" w:sz="6" w:space="4" w:color="E2E8F0"/>
        </w:pBdr>
      </w:pPr>
      <w:r>
        <w:rPr>
          <w:rFonts w:ascii="Arial" w:hAnsi="Arial"/>
          <w:b/>
          <w:color w:val="0B532B"/>
          <w:sz w:val="26"/>
        </w:rPr>
        <w:t>3. Data Sanitization &amp; Destruction Safeguards</w:t>
      </w:r>
    </w:p>
    <w:p>
      <w:r>
        <w:t>To protect intellectual property and satisfy privacy guidelines, data persistence must be eliminated using rigorous, reproducible validation mechanisms:</w:t>
      </w:r>
    </w:p>
    <w:tbl>
      <w:tblPr>
        <w:tblW w:type="auto" w:w="0"/>
        <w:jc w:val="center"/>
        <w:tblLayout w:type="fixed"/>
        <w:tblLook w:firstColumn="1" w:firstRow="1" w:lastColumn="0" w:lastRow="0" w:noHBand="0" w:noVBand="1" w:val="04A0"/>
      </w:tblPr>
      <w:tblGrid>
        <w:gridCol w:w="9360"/>
      </w:tblGrid>
      <w:tr>
        <w:tc>
          <w:tcPr>
            <w:tcW w:type="dxa" w:w="9360"/>
            <w:shd w:fill="FAFAFA"/>
            <w:tcMar>
              <w:top w:w="140" w:type="dxa"/>
              <w:bottom w:w="140" w:type="dxa"/>
              <w:left w:w="180" w:type="dxa"/>
              <w:right w:w="180" w:type="dxa"/>
            </w:tcMar>
            <w:tcBorders>
              <w:top w:val="dashed" w:sz="4" w:space="0" w:color="CBD5E1"/>
              <w:left w:val="single" w:sz="24" w:space="0" w:color="0B532B"/>
              <w:bottom w:val="dashed" w:sz="4" w:space="0" w:color="CBD5E1"/>
              <w:right w:val="dashed" w:sz="4" w:space="0" w:color="CBD5E1"/>
            </w:tcBorders>
          </w:tcPr>
          <w:p>
            <w:pPr>
              <w:spacing w:after="0"/>
            </w:pPr>
            <w:r>
              <w:rPr>
                <w:i/>
                <w:color w:val="64748B"/>
                <w:sz w:val="19"/>
              </w:rPr>
              <w:t>[INSERT REGULATORY CHOICE: Choose between logical formatting using enterprise software modules matching NIST SP 800-88 Purge parameters, or specify physical high-torque mechanical drive destruction down to 2mm fractions via certified on-site mobile shredding components.]</w:t>
            </w:r>
          </w:p>
        </w:tc>
      </w:tr>
    </w:tbl>
    <w:p>
      <w:pPr>
        <w:spacing w:before="160"/>
      </w:pPr>
      <w:r>
        <w:t>Any internal hard drive configurations that manifest read/write mechanical tracking errors during programmatic erasure cycles must be flagged for immediate physical physical destruction.</w:t>
      </w:r>
    </w:p>
    <w:p>
      <w:pPr>
        <w:keepNext/>
        <w:spacing w:before="400" w:after="160"/>
        <w:pBdr>
          <w:bottom w:val="single" w:sz="6" w:space="4" w:color="E2E8F0"/>
        </w:pBdr>
      </w:pPr>
      <w:r>
        <w:rPr>
          <w:rFonts w:ascii="Arial" w:hAnsi="Arial"/>
          <w:b/>
          <w:color w:val="0B532B"/>
          <w:sz w:val="26"/>
        </w:rPr>
        <w:t>4. Eco-Friendly Circular Recycling Rules</w:t>
      </w:r>
    </w:p>
    <w:p>
      <w:r>
        <w:t>All non-functional structural components and sub-assemblies must be routed through audited recycling facilities operating under strict zero-landfill governance benchmarks.</w:t>
      </w:r>
    </w:p>
    <w:p>
      <w:pPr>
        <w:keepNext/>
        <w:spacing w:before="400" w:after="160"/>
        <w:pBdr>
          <w:bottom w:val="single" w:sz="6" w:space="4" w:color="E2E8F0"/>
        </w:pBdr>
      </w:pPr>
      <w:r>
        <w:rPr>
          <w:rFonts w:ascii="Arial" w:hAnsi="Arial"/>
          <w:b/>
          <w:color w:val="0B532B"/>
          <w:sz w:val="26"/>
        </w:rPr>
        <w:t>5. Verification Records &amp; Auditing</w:t>
      </w:r>
    </w:p>
    <w:p>
      <w:r>
        <w:t>The compliance division must retain the following verifications for a minimum rolling period of seven (7) years:</w:t>
      </w:r>
    </w:p>
    <w:p>
      <w:pPr>
        <w:pStyle w:val="ListNumber"/>
        <w:spacing w:after="80"/>
      </w:pPr>
      <w:r>
        <w:t>Device Serialization Match Logs identifying individual unit wipe confirmations.</w:t>
      </w:r>
    </w:p>
    <w:p>
      <w:pPr>
        <w:pStyle w:val="ListNumber"/>
        <w:spacing w:after="160"/>
      </w:pPr>
      <w:r>
        <w:t>Legally certified Environmental Waste Transfer Slips.</w:t>
      </w:r>
    </w:p>
    <w:p>
      <w:pPr>
        <w:spacing w:before="600" w:after="240"/>
        <w:pBdr>
          <w:bottom w:val="single" w:sz="12" w:space="4" w:color="0B532B"/>
        </w:pBdr>
      </w:pPr>
    </w:p>
    <w:p>
      <w:pPr>
        <w:jc w:val="center"/>
      </w:pPr>
      <w:r>
        <w:rPr>
          <w:b/>
          <w:color w:val="3E5C43"/>
          <w:sz w:val="19"/>
        </w:rPr>
        <w:t xml:space="preserve">Phone: </w:t>
      </w:r>
      <w:r>
        <w:rPr>
          <w:color w:val="3E5C43"/>
          <w:sz w:val="19"/>
        </w:rPr>
        <w:t xml:space="preserve">0113 320 3344   |   </w:t>
      </w:r>
      <w:r>
        <w:rPr>
          <w:b/>
          <w:color w:val="3E5C43"/>
          <w:sz w:val="19"/>
        </w:rPr>
        <w:t xml:space="preserve">Email: </w:t>
      </w:r>
      <w:r>
        <w:rPr>
          <w:color w:val="3E5C43"/>
          <w:sz w:val="19"/>
        </w:rPr>
        <w:t xml:space="preserve">info@tmreuseleeds.co.uk   |   </w:t>
      </w:r>
      <w:r>
        <w:rPr>
          <w:b/>
          <w:color w:val="3E5C43"/>
          <w:sz w:val="19"/>
        </w:rPr>
        <w:t xml:space="preserve">Web: </w:t>
      </w:r>
      <w:r>
        <w:rPr>
          <w:color w:val="3E5C43"/>
          <w:sz w:val="19"/>
        </w:rPr>
        <w:t>tmreuseleeds.co.uk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Arial" w:hAnsi="Arial"/>
      <w:color w:val="2C3E5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