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216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005840" cy="100131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green_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10013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200"/>
          </w:tcPr>
          <w:p>
            <w:pPr>
              <w:spacing w:after="40"/>
            </w:pPr>
            <w:r>
              <w:rPr>
                <w:b/>
                <w:color w:val="0B532B"/>
                <w:sz w:val="40"/>
              </w:rPr>
              <w:t>IT Asset Disposal Policy Template</w:t>
            </w:r>
          </w:p>
          <w:p>
            <w:pPr>
              <w:spacing w:after="0"/>
            </w:pPr>
            <w:r>
              <w:rPr>
                <w:i/>
                <w:color w:val="3E5C43"/>
                <w:sz w:val="21"/>
              </w:rPr>
              <w:t>Create a compliant chain-of-custody process for your organisation using a ready-to-customise framework.</w:t>
            </w:r>
          </w:p>
        </w:tc>
      </w:tr>
    </w:tbl>
    <w:p>
      <w:pPr>
        <w:spacing w:before="240" w:after="360"/>
        <w:pBdr>
          <w:bottom w:val="single" w:sz="18" w:space="4" w:color="0B532B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2592"/>
            <w:shd w:fill="F4F9F5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b/>
                <w:color w:val="0B532B"/>
                <w:sz w:val="19"/>
              </w:rPr>
              <w:t>Document Reference:</w:t>
            </w:r>
          </w:p>
        </w:tc>
        <w:tc>
          <w:tcPr>
            <w:tcW w:type="dxa" w:w="6768"/>
            <w:shd w:fill="F4F9F5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sz w:val="19"/>
              </w:rPr>
              <w:t>CORP-ITAD-POLICY-2026</w:t>
            </w:r>
          </w:p>
        </w:tc>
      </w:tr>
      <w:tr>
        <w:tc>
          <w:tcPr>
            <w:tcW w:type="dxa" w:w="2592"/>
            <w:shd w:fill="F4F9F5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b/>
                <w:color w:val="0B532B"/>
                <w:sz w:val="19"/>
              </w:rPr>
              <w:t>Target Audience:</w:t>
            </w:r>
          </w:p>
        </w:tc>
        <w:tc>
          <w:tcPr>
            <w:tcW w:type="dxa" w:w="6768"/>
            <w:shd w:fill="F4F9F5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sz w:val="19"/>
              </w:rPr>
              <w:t>Information Security Officers, IT Logistics Teams, Compliance Managers, Operations Leads</w:t>
            </w:r>
          </w:p>
        </w:tc>
      </w:tr>
      <w:tr>
        <w:tc>
          <w:tcPr>
            <w:tcW w:type="dxa" w:w="2592"/>
            <w:shd w:fill="F4F9F5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b/>
                <w:color w:val="0B532B"/>
                <w:sz w:val="19"/>
              </w:rPr>
              <w:t>Instructions:</w:t>
            </w:r>
          </w:p>
        </w:tc>
        <w:tc>
          <w:tcPr>
            <w:tcW w:type="dxa" w:w="6768"/>
            <w:shd w:fill="F4F9F5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sz w:val="19"/>
              </w:rPr>
              <w:t>Amend all highlighted bracketed fields [like this] to align with your organization's internal compliance, risk thresholds, and tracking mechanisms.</w:t>
            </w:r>
          </w:p>
        </w:tc>
      </w:tr>
    </w:tbl>
    <w:p>
      <w:pPr>
        <w:keepNext/>
        <w:spacing w:before="400" w:after="160"/>
        <w:pBdr>
          <w:bottom w:val="single" w:sz="6" w:space="4" w:color="E2E8F0"/>
        </w:pBdr>
      </w:pPr>
      <w:r>
        <w:rPr>
          <w:b/>
          <w:color w:val="0B532B"/>
          <w:sz w:val="26"/>
        </w:rPr>
        <w:t>1. Purpose &amp; Core Scope</w:t>
      </w:r>
    </w:p>
    <w:p>
      <w:r>
        <w:t>This policy defines the corporate standard operating procedures for the secure decommissioning, sanitization, and disposal of redundant information technology assets. The objective is to construct an uncompromised chain-of-custody process that completely isolates corporate data vectors from exposure risk while fulfilling local circular environmental waste obligations.</w:t>
      </w:r>
    </w:p>
    <w:p>
      <w:r>
        <w:t>Scope governs all hardware containing data structures, including end-user laptop fleets, storage arrays, office servers, and enterprise network appliances.</w:t>
      </w:r>
    </w:p>
    <w:p>
      <w:pPr>
        <w:keepNext/>
        <w:spacing w:before="400" w:after="160"/>
        <w:pBdr>
          <w:bottom w:val="single" w:sz="6" w:space="4" w:color="E2E8F0"/>
        </w:pBdr>
      </w:pPr>
      <w:r>
        <w:rPr>
          <w:b/>
          <w:color w:val="0B532B"/>
          <w:sz w:val="26"/>
        </w:rPr>
        <w:t>2. Chain-of-Custody Protocols</w:t>
      </w:r>
    </w:p>
    <w:p>
      <w:r>
        <w:t>A verified, unbroken chain-of-custody must be documented for every asset through all stages of decommissioning and transport:</w:t>
      </w:r>
    </w:p>
    <w:p>
      <w:pPr>
        <w:pStyle w:val="ListBullet"/>
        <w:spacing w:after="80"/>
      </w:pPr>
      <w:r>
        <w:rPr>
          <w:b/>
        </w:rPr>
        <w:t xml:space="preserve">Asset Logging: </w:t>
      </w:r>
      <w:r>
        <w:t>All items earmarked for retirement must have their operational parameters and asset numbers updated in the Configuration Management Database (CMDB) prior to collection.</w:t>
      </w:r>
    </w:p>
    <w:p>
      <w:pPr>
        <w:pStyle w:val="ListBullet"/>
        <w:spacing w:after="80"/>
      </w:pPr>
      <w:r>
        <w:rPr>
          <w:b/>
        </w:rPr>
        <w:t xml:space="preserve">Secure Transit Containment: </w:t>
      </w:r>
      <w:r>
        <w:t>Assets pending batch transportation must be loaded into secure, tamper-evident locked bins and kept inside access-controlled environments.</w:t>
      </w:r>
    </w:p>
    <w:p>
      <w:pPr>
        <w:keepNext/>
        <w:spacing w:before="400" w:after="160"/>
        <w:pBdr>
          <w:bottom w:val="single" w:sz="6" w:space="4" w:color="E2E8F0"/>
        </w:pBdr>
      </w:pPr>
      <w:r>
        <w:rPr>
          <w:b/>
          <w:color w:val="0B532B"/>
          <w:sz w:val="26"/>
        </w:rPr>
        <w:t>3. Data Sanitization Safeguards</w:t>
      </w:r>
    </w:p>
    <w:p>
      <w:r>
        <w:t>Data destruction standard baselines must match corporate risk parameters perfectly before hardware is transferred to downstream recyling workflows: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AFAFA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top w:val="dashed" w:sz="4" w:space="0" w:color="CBD5E1"/>
              <w:left w:val="single" w:sz="24" w:space="0" w:color="0B532B"/>
              <w:bottom w:val="dashed" w:sz="4" w:space="0" w:color="CBD5E1"/>
              <w:right w:val="dashed" w:sz="4" w:space="0" w:color="CBD5E1"/>
            </w:tcBorders>
          </w:tcPr>
          <w:p>
            <w:pPr>
              <w:spacing w:after="0"/>
            </w:pPr>
            <w:r>
              <w:rPr>
                <w:i/>
                <w:color w:val="64748B"/>
                <w:sz w:val="19"/>
              </w:rPr>
              <w:t>[INSERT COMPLIANCE WIPING REQUIREMENT: Mandate whether assets must run logic overwrite patterns matching NIST SP 800-88 Purge standards with automated software verification, or undergo permanent physical, mechanical hardware destruction via certified shredding partners.]</w:t>
            </w:r>
          </w:p>
        </w:tc>
      </w:tr>
    </w:tbl>
    <w:p>
      <w:pPr>
        <w:keepNext/>
        <w:spacing w:before="400" w:after="160"/>
        <w:pBdr>
          <w:bottom w:val="single" w:sz="6" w:space="4" w:color="E2E8F0"/>
        </w:pBdr>
      </w:pPr>
      <w:r>
        <w:rPr>
          <w:b/>
          <w:color w:val="0B532B"/>
          <w:sz w:val="26"/>
        </w:rPr>
        <w:t>4. Environmental Governance &amp; Downstream Lifecycle</w:t>
      </w:r>
    </w:p>
    <w:p>
      <w:r>
        <w:t>All non-functional assets, components, and electronic modules must be processed exclusively through licensed IT Asset Disposal (ITAD) partners operating under verified environmental management certifications to guarantee zero-landfill routing.</w:t>
      </w:r>
    </w:p>
    <w:p>
      <w:pPr>
        <w:keepNext/>
        <w:spacing w:before="400" w:after="160"/>
        <w:pBdr>
          <w:bottom w:val="single" w:sz="6" w:space="4" w:color="E2E8F0"/>
        </w:pBdr>
      </w:pPr>
      <w:r>
        <w:rPr>
          <w:b/>
          <w:color w:val="0B532B"/>
          <w:sz w:val="26"/>
        </w:rPr>
        <w:t>5. Audit Documentation Maintenance</w:t>
      </w:r>
    </w:p>
    <w:p>
      <w:r>
        <w:t>The compliance department will preserve all processing records for seven (7) years:</w:t>
      </w:r>
    </w:p>
    <w:p>
      <w:pPr>
        <w:pStyle w:val="ListNumber"/>
        <w:spacing w:after="80"/>
      </w:pPr>
      <w:r>
        <w:t>Serial-tracked Certificates of Data Destruction.</w:t>
      </w:r>
    </w:p>
    <w:p>
      <w:pPr>
        <w:pStyle w:val="ListNumber"/>
        <w:spacing w:after="160"/>
      </w:pPr>
      <w:r>
        <w:t>Environmental Waste Transfer Notes (WTN) proving compliant ecological processing.</w:t>
      </w:r>
    </w:p>
    <w:p>
      <w:pPr>
        <w:spacing w:before="700" w:after="240"/>
        <w:pBdr>
          <w:bottom w:val="single" w:sz="12" w:space="4" w:color="0B532B"/>
        </w:pBdr>
      </w:pPr>
    </w:p>
    <w:p>
      <w:pPr>
        <w:jc w:val="center"/>
      </w:pPr>
      <w:r>
        <w:rPr>
          <w:b/>
          <w:color w:val="3E5C43"/>
          <w:sz w:val="19"/>
        </w:rPr>
        <w:t xml:space="preserve">Phone: </w:t>
      </w:r>
      <w:r>
        <w:rPr>
          <w:color w:val="3E5C43"/>
          <w:sz w:val="19"/>
        </w:rPr>
        <w:t xml:space="preserve">0113 320 3344   |   </w:t>
      </w:r>
      <w:r>
        <w:rPr>
          <w:b/>
          <w:color w:val="3E5C43"/>
          <w:sz w:val="19"/>
        </w:rPr>
        <w:t xml:space="preserve">Email: </w:t>
      </w:r>
      <w:r>
        <w:rPr>
          <w:color w:val="3E5C43"/>
          <w:sz w:val="19"/>
        </w:rPr>
        <w:t xml:space="preserve">info@tmreuseleeds.co.uk   |   </w:t>
      </w:r>
      <w:r>
        <w:rPr>
          <w:b/>
          <w:color w:val="3E5C43"/>
          <w:sz w:val="19"/>
        </w:rPr>
        <w:t xml:space="preserve">Web: </w:t>
      </w:r>
      <w:r>
        <w:rPr>
          <w:color w:val="3E5C43"/>
          <w:sz w:val="19"/>
        </w:rPr>
        <w:t>tmreuseleeds.co.uk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160"/>
    </w:pPr>
    <w:rPr>
      <w:rFonts w:ascii="Arial" w:hAnsi="Arial"/>
      <w:color w:val="2C3E5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